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4DA3" w14:textId="77777777" w:rsidR="007C5C8E" w:rsidRPr="007C5C8E" w:rsidRDefault="007C5C8E" w:rsidP="007C5C8E">
      <w:pPr>
        <w:overflowPunct/>
        <w:autoSpaceDE/>
        <w:adjustRightInd/>
        <w:jc w:val="both"/>
        <w:rPr>
          <w:b/>
          <w:bCs/>
          <w:sz w:val="28"/>
          <w:szCs w:val="28"/>
          <w:u w:val="single"/>
        </w:rPr>
      </w:pPr>
    </w:p>
    <w:p w14:paraId="3F4B3DE2" w14:textId="0EC119F4" w:rsidR="007C5C8E" w:rsidRDefault="007C5C8E" w:rsidP="007C5C8E">
      <w:pPr>
        <w:overflowPunct/>
        <w:autoSpaceDE/>
        <w:adjustRightInd/>
        <w:rPr>
          <w:b/>
          <w:bCs/>
          <w:sz w:val="28"/>
          <w:szCs w:val="28"/>
          <w:u w:val="single"/>
        </w:rPr>
      </w:pPr>
      <w:r w:rsidRPr="007C5C8E">
        <w:rPr>
          <w:b/>
          <w:bCs/>
          <w:sz w:val="28"/>
          <w:szCs w:val="28"/>
          <w:u w:val="single"/>
        </w:rPr>
        <w:t xml:space="preserve">Plán hospitační a kontrolní činnosti ve školním roce 2024 </w:t>
      </w:r>
      <w:r>
        <w:rPr>
          <w:b/>
          <w:bCs/>
          <w:sz w:val="28"/>
          <w:szCs w:val="28"/>
          <w:u w:val="single"/>
        </w:rPr>
        <w:t>–</w:t>
      </w:r>
      <w:r w:rsidRPr="007C5C8E">
        <w:rPr>
          <w:b/>
          <w:bCs/>
          <w:sz w:val="28"/>
          <w:szCs w:val="28"/>
          <w:u w:val="single"/>
        </w:rPr>
        <w:t xml:space="preserve"> 2025</w:t>
      </w:r>
    </w:p>
    <w:p w14:paraId="4B742F49" w14:textId="210D5E97" w:rsidR="007C5C8E" w:rsidRDefault="007C5C8E" w:rsidP="007C5C8E">
      <w:pPr>
        <w:overflowPunct/>
        <w:autoSpaceDE/>
        <w:adjustRightInd/>
        <w:rPr>
          <w:b/>
          <w:bCs/>
          <w:sz w:val="28"/>
          <w:szCs w:val="28"/>
          <w:u w:val="single"/>
        </w:rPr>
      </w:pPr>
    </w:p>
    <w:p w14:paraId="18F27C22" w14:textId="77777777" w:rsidR="007C5C8E" w:rsidRPr="007C5C8E" w:rsidRDefault="007C5C8E" w:rsidP="007C5C8E">
      <w:pPr>
        <w:overflowPunct/>
        <w:autoSpaceDE/>
        <w:adjustRightInd/>
        <w:rPr>
          <w:b/>
          <w:bCs/>
          <w:sz w:val="28"/>
          <w:szCs w:val="28"/>
          <w:u w:val="single"/>
        </w:rPr>
      </w:pPr>
    </w:p>
    <w:p w14:paraId="4491CE82" w14:textId="77777777" w:rsidR="007C5C8E" w:rsidRDefault="007C5C8E" w:rsidP="007C5C8E">
      <w:pPr>
        <w:overflowPunct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Ve školním roce 2024 – 2025 bude kontrolní činnost vedení školy zaměřena na oblasti: </w:t>
      </w:r>
    </w:p>
    <w:p w14:paraId="28AC2F0A" w14:textId="77777777" w:rsidR="007C5C8E" w:rsidRDefault="007C5C8E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 xml:space="preserve">- používání osobních ochranných pracovních prostředků, </w:t>
      </w:r>
    </w:p>
    <w:p w14:paraId="709555FE" w14:textId="77777777" w:rsidR="007C5C8E" w:rsidRDefault="007C5C8E" w:rsidP="007C5C8E">
      <w:pPr>
        <w:overflowPunct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 xml:space="preserve">- zajištění bezpečnosti budovy – zamezení vstupu neoprávněných osob, </w:t>
      </w:r>
    </w:p>
    <w:p w14:paraId="2C10D66E" w14:textId="77777777" w:rsidR="007C5C8E" w:rsidRDefault="007C5C8E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 xml:space="preserve">- včasné odevzdávání materiálů, vypracovaných dokumentů, zpráv, </w:t>
      </w:r>
    </w:p>
    <w:p w14:paraId="1CFEF5D5" w14:textId="77777777" w:rsidR="007C5C8E" w:rsidRDefault="007C5C8E" w:rsidP="007C5C8E">
      <w:pPr>
        <w:overflowPunct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 xml:space="preserve">- kvalita odevzdávaných úkolů, </w:t>
      </w:r>
    </w:p>
    <w:p w14:paraId="7C29A4DF" w14:textId="77777777" w:rsidR="007C5C8E" w:rsidRDefault="007C5C8E" w:rsidP="007C5C8E">
      <w:pPr>
        <w:overflowPunct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 xml:space="preserve">- průběžný dohled nad žáky ve všech prostorách, a to od okamžiku vstupu do prostor školy po celý průběh výchovně-vzdělávacího procesu i po jeho ukončení až po dobu opuštění budovy, </w:t>
      </w:r>
    </w:p>
    <w:p w14:paraId="64A6FD90" w14:textId="77777777" w:rsidR="007C5C8E" w:rsidRDefault="007C5C8E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 xml:space="preserve">- žákovské knížky (úplnost zápisů, frekvence známek, sdělení rodičům…), </w:t>
      </w:r>
    </w:p>
    <w:p w14:paraId="755A7592" w14:textId="77777777" w:rsidR="007C5C8E" w:rsidRDefault="007C5C8E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 xml:space="preserve">- opravy žákovských písemností, </w:t>
      </w:r>
    </w:p>
    <w:p w14:paraId="2A5D5056" w14:textId="77777777" w:rsidR="007C5C8E" w:rsidRDefault="007C5C8E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 xml:space="preserve">- kontrola dodržování hygienických opatření při školním stravování, </w:t>
      </w:r>
    </w:p>
    <w:p w14:paraId="58DFB51A" w14:textId="77777777" w:rsidR="007C5C8E" w:rsidRDefault="007C5C8E" w:rsidP="007C5C8E">
      <w:pPr>
        <w:overflowPunct/>
        <w:autoSpaceDE/>
        <w:adjustRightInd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>- kvalita úklidových prací s důrazem na dezinfekci povrchů a předmětů,</w:t>
      </w:r>
    </w:p>
    <w:p w14:paraId="193399B0" w14:textId="77777777" w:rsidR="007C5C8E" w:rsidRDefault="007C5C8E" w:rsidP="007C5C8E">
      <w:pPr>
        <w:rPr>
          <w:rFonts w:asciiTheme="minorHAnsi" w:hAnsiTheme="minorHAnsi" w:cstheme="minorHAnsi"/>
          <w:color w:val="0000FF"/>
          <w:sz w:val="23"/>
          <w:szCs w:val="23"/>
        </w:rPr>
      </w:pPr>
      <w:r>
        <w:rPr>
          <w:rFonts w:asciiTheme="minorHAnsi" w:hAnsiTheme="minorHAnsi" w:cstheme="minorHAnsi"/>
          <w:color w:val="0000FF"/>
          <w:sz w:val="23"/>
          <w:szCs w:val="23"/>
        </w:rPr>
        <w:t>- dodržování pracovní doby,</w:t>
      </w:r>
    </w:p>
    <w:p w14:paraId="6B9BB659" w14:textId="77777777" w:rsidR="007C5C8E" w:rsidRDefault="007C5C8E" w:rsidP="007C5C8E">
      <w:pPr>
        <w:rPr>
          <w:rFonts w:asciiTheme="minorHAnsi" w:hAnsiTheme="minorHAnsi" w:cstheme="minorHAnsi"/>
          <w:color w:val="0000FF"/>
          <w:sz w:val="23"/>
          <w:szCs w:val="23"/>
        </w:rPr>
      </w:pPr>
      <w:r>
        <w:rPr>
          <w:rFonts w:asciiTheme="minorHAnsi" w:hAnsiTheme="minorHAnsi" w:cstheme="minorHAnsi"/>
          <w:color w:val="0000FF"/>
          <w:sz w:val="23"/>
          <w:szCs w:val="23"/>
        </w:rPr>
        <w:t>- kontrola vytápění školy, dodržování předepsaných teplot v místnostech, chodbách, tělocvičně apod.</w:t>
      </w:r>
    </w:p>
    <w:p w14:paraId="4FAF6420" w14:textId="77777777" w:rsidR="007C5C8E" w:rsidRDefault="007C5C8E" w:rsidP="007C5C8E">
      <w:pPr>
        <w:overflowPunct/>
        <w:autoSpaceDE/>
        <w:adjustRightInd/>
        <w:rPr>
          <w:sz w:val="24"/>
          <w:szCs w:val="24"/>
        </w:rPr>
      </w:pPr>
    </w:p>
    <w:p w14:paraId="16A0F9C4" w14:textId="77777777" w:rsidR="007C5C8E" w:rsidRDefault="007C5C8E" w:rsidP="007C5C8E">
      <w:p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V následujícím období bude kontrolní činnost vedení školy zaměřena na oblasti:</w:t>
      </w:r>
    </w:p>
    <w:p w14:paraId="389A9B63" w14:textId="77777777" w:rsidR="007C5C8E" w:rsidRDefault="007C5C8E" w:rsidP="007C5C8E">
      <w:pPr>
        <w:overflowPunct/>
        <w:autoSpaceDE/>
        <w:adjustRightInd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- kontrola osobních spisů zaměstnanců, doplnění informací podle novely zákoníku práce,</w:t>
      </w:r>
    </w:p>
    <w:p w14:paraId="1E47EDDF" w14:textId="77777777" w:rsidR="007C5C8E" w:rsidRDefault="007C5C8E" w:rsidP="007C5C8E">
      <w:pPr>
        <w:overflowPunct/>
        <w:autoSpaceDE/>
        <w:adjustRightInd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- zvýšená kontrola výkazů pracovních hodin – soulad s výkaznictvím při dohodách</w:t>
      </w:r>
    </w:p>
    <w:p w14:paraId="487D53BC" w14:textId="77777777" w:rsidR="007C5C8E" w:rsidRDefault="007C5C8E" w:rsidP="007C5C8E">
      <w:pPr>
        <w:overflowPunct/>
        <w:autoSpaceDE/>
        <w:adjustRightInd/>
        <w:rPr>
          <w:color w:val="0000FF"/>
          <w:sz w:val="24"/>
          <w:szCs w:val="24"/>
        </w:rPr>
      </w:pPr>
    </w:p>
    <w:p w14:paraId="0B023754" w14:textId="77777777" w:rsidR="007C5C8E" w:rsidRDefault="007C5C8E" w:rsidP="007C5C8E">
      <w:pPr>
        <w:overflowPunct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Ve školním roce 2024 – 2025 bude hospitační činnost vedení školy zaměřena na oblasti: </w:t>
      </w:r>
    </w:p>
    <w:p w14:paraId="6F1157CC" w14:textId="77777777" w:rsidR="007C5C8E" w:rsidRDefault="007C5C8E" w:rsidP="007C5C8E">
      <w:pPr>
        <w:overflowPunct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 xml:space="preserve">- vedení žáků k pohybové aktivitě, </w:t>
      </w:r>
    </w:p>
    <w:p w14:paraId="0762157D" w14:textId="77777777" w:rsidR="007C5C8E" w:rsidRDefault="007C5C8E" w:rsidP="007C5C8E">
      <w:pPr>
        <w:overflowPunct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>- uplatňování sebehodnocení žáků ve výuce, hodnocení na konci vyučovací hodiny</w:t>
      </w:r>
    </w:p>
    <w:p w14:paraId="58DF10EF" w14:textId="77777777" w:rsidR="007C5C8E" w:rsidRDefault="007C5C8E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 xml:space="preserve">- zařazování digitálních kompetencí do výuky, </w:t>
      </w:r>
    </w:p>
    <w:p w14:paraId="00998755" w14:textId="77777777" w:rsidR="007C5C8E" w:rsidRDefault="007C5C8E" w:rsidP="007C5C8E">
      <w:pPr>
        <w:overflowPunct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 xml:space="preserve">- rozvíjení klíčových kompetencí, </w:t>
      </w:r>
    </w:p>
    <w:p w14:paraId="1CE96793" w14:textId="77777777" w:rsidR="007C5C8E" w:rsidRDefault="007C5C8E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 xml:space="preserve">- plnění průřezových témat, </w:t>
      </w:r>
    </w:p>
    <w:p w14:paraId="413745E0" w14:textId="77777777" w:rsidR="007C5C8E" w:rsidRDefault="007C5C8E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 xml:space="preserve">- plnění celoškolních projektů vyhlášených ŘŠ </w:t>
      </w:r>
    </w:p>
    <w:p w14:paraId="00806EB2" w14:textId="77777777" w:rsidR="007C5C8E" w:rsidRDefault="007C5C8E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 xml:space="preserve">- způsob výuky – učíme pro budoucnost, praktické zaměření výuky, </w:t>
      </w:r>
    </w:p>
    <w:p w14:paraId="5A234308" w14:textId="77777777" w:rsidR="007C5C8E" w:rsidRDefault="007C5C8E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>- komunikace mezi žáky – zaměstnání ve skupinách,</w:t>
      </w:r>
    </w:p>
    <w:p w14:paraId="15CF75BB" w14:textId="77777777" w:rsidR="007C5C8E" w:rsidRDefault="007C5C8E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>- dodržování stavby hodiny,</w:t>
      </w:r>
    </w:p>
    <w:p w14:paraId="52E4547C" w14:textId="77777777" w:rsidR="007C5C8E" w:rsidRDefault="007C5C8E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>- v autistických třídách dbát na výuku dle struktury,</w:t>
      </w:r>
    </w:p>
    <w:p w14:paraId="1C89F2D0" w14:textId="77777777" w:rsidR="007C5C8E" w:rsidRDefault="007C5C8E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>- přiměřenost předkládaného učiva a materiálů,</w:t>
      </w:r>
    </w:p>
    <w:p w14:paraId="7334E043" w14:textId="77777777" w:rsidR="007C5C8E" w:rsidRDefault="007C5C8E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>- každodenní ranní rituály ve speciálních třídách,</w:t>
      </w:r>
    </w:p>
    <w:p w14:paraId="4E8C6E37" w14:textId="7F444023" w:rsidR="007C5C8E" w:rsidRDefault="007C5C8E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>- zřetelné uplatňování výstupů dle BV a MV</w:t>
      </w:r>
    </w:p>
    <w:p w14:paraId="785D6AD5" w14:textId="004FF981" w:rsidR="00C03764" w:rsidRDefault="00C03764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>- využívání zjištěných výsledků pedagogické diagnostiky při plánování vzdělávací nabídky a individualizaci vzdělávání v předškolním vzdělávání</w:t>
      </w:r>
    </w:p>
    <w:p w14:paraId="172385E2" w14:textId="2EA01634" w:rsidR="00C03764" w:rsidRDefault="00C03764" w:rsidP="007C5C8E">
      <w:pPr>
        <w:overflowPunct/>
        <w:rPr>
          <w:rFonts w:ascii="Calibri" w:eastAsiaTheme="minorHAnsi" w:hAnsi="Calibri" w:cs="Calibri"/>
          <w:color w:val="0000FF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FF"/>
          <w:sz w:val="23"/>
          <w:szCs w:val="23"/>
          <w:lang w:eastAsia="en-US"/>
        </w:rPr>
        <w:t>- vedení dětí k samostatnosti, k sebeobsluze</w:t>
      </w:r>
    </w:p>
    <w:p w14:paraId="53E634D5" w14:textId="77777777" w:rsidR="007C5C8E" w:rsidRDefault="007C5C8E"/>
    <w:sectPr w:rsidR="007C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8E"/>
    <w:rsid w:val="007C5C8E"/>
    <w:rsid w:val="00C0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73B3"/>
  <w15:chartTrackingRefBased/>
  <w15:docId w15:val="{DEBE9A7D-F9A4-4277-992E-3851CEB3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C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Falcová</dc:creator>
  <cp:keywords/>
  <dc:description/>
  <cp:lastModifiedBy>Ludmila Falcová</cp:lastModifiedBy>
  <cp:revision>3</cp:revision>
  <cp:lastPrinted>2024-11-11T14:29:00Z</cp:lastPrinted>
  <dcterms:created xsi:type="dcterms:W3CDTF">2024-11-10T18:06:00Z</dcterms:created>
  <dcterms:modified xsi:type="dcterms:W3CDTF">2024-11-11T14:31:00Z</dcterms:modified>
</cp:coreProperties>
</file>